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327A2" w14:textId="77777777" w:rsidR="00D34C91" w:rsidRPr="00D34C91" w:rsidRDefault="00D34C91" w:rsidP="00D34C91">
      <w:pPr>
        <w:spacing w:before="100" w:beforeAutospacing="1" w:after="100" w:afterAutospacing="1"/>
        <w:jc w:val="center"/>
        <w:rPr>
          <w:rFonts w:ascii="Arial" w:hAnsi="Arial" w:cs="Arial"/>
          <w:b/>
          <w:bCs/>
          <w:sz w:val="28"/>
          <w:szCs w:val="28"/>
        </w:rPr>
      </w:pPr>
      <w:r w:rsidRPr="00D34C91">
        <w:rPr>
          <w:rFonts w:ascii="Arial" w:hAnsi="Arial" w:cs="Arial"/>
          <w:b/>
          <w:bCs/>
          <w:sz w:val="28"/>
          <w:szCs w:val="28"/>
        </w:rPr>
        <w:t>Heaton Norris Medical Practice</w:t>
      </w:r>
    </w:p>
    <w:p w14:paraId="66645953" w14:textId="723288E5" w:rsidR="00D34C91" w:rsidRPr="00CE5867" w:rsidRDefault="00D34C91" w:rsidP="00D34C91">
      <w:pPr>
        <w:spacing w:before="100" w:beforeAutospacing="1" w:after="100" w:afterAutospacing="1"/>
        <w:rPr>
          <w:rFonts w:ascii="Arial" w:hAnsi="Arial" w:cs="Arial"/>
        </w:rPr>
      </w:pPr>
      <w:r>
        <w:rPr>
          <w:rFonts w:ascii="Arial" w:hAnsi="Arial" w:cs="Arial"/>
        </w:rPr>
        <w:t>Date:</w:t>
      </w:r>
    </w:p>
    <w:p w14:paraId="32C3BF70" w14:textId="77777777" w:rsidR="00D34C91" w:rsidRPr="00CE5867" w:rsidRDefault="00D34C91" w:rsidP="00D34C91">
      <w:pPr>
        <w:spacing w:before="100" w:beforeAutospacing="1" w:after="100" w:afterAutospacing="1"/>
        <w:rPr>
          <w:rFonts w:ascii="Arial" w:hAnsi="Arial" w:cs="Arial"/>
          <w:b/>
        </w:rPr>
      </w:pPr>
      <w:r w:rsidRPr="00CE5867">
        <w:rPr>
          <w:rFonts w:ascii="Arial" w:hAnsi="Arial" w:cs="Arial"/>
          <w:b/>
        </w:rPr>
        <w:t xml:space="preserve">Purpose  </w:t>
      </w:r>
    </w:p>
    <w:p w14:paraId="1A93EFF3" w14:textId="28DB8CD9" w:rsidR="00D34C91" w:rsidRPr="00CE5867" w:rsidRDefault="00D34C91" w:rsidP="00D34C91">
      <w:pPr>
        <w:spacing w:before="100" w:beforeAutospacing="1" w:after="100" w:afterAutospacing="1"/>
        <w:rPr>
          <w:rFonts w:ascii="Arial" w:hAnsi="Arial" w:cs="Arial"/>
        </w:rPr>
      </w:pPr>
      <w:r w:rsidRPr="00CE5867">
        <w:rPr>
          <w:rFonts w:ascii="Arial" w:hAnsi="Arial" w:cs="Arial"/>
        </w:rPr>
        <w:t xml:space="preserve">This annual statement will be generated each year in </w:t>
      </w:r>
      <w:r>
        <w:rPr>
          <w:rFonts w:ascii="Arial" w:hAnsi="Arial" w:cs="Arial"/>
        </w:rPr>
        <w:t>July</w:t>
      </w:r>
      <w:r w:rsidRPr="00CE5867">
        <w:rPr>
          <w:rFonts w:ascii="Arial" w:hAnsi="Arial" w:cs="Arial"/>
        </w:rPr>
        <w:t xml:space="preserve">, in accordance with the requirements of the </w:t>
      </w:r>
      <w:hyperlink r:id="rId5" w:history="1">
        <w:r w:rsidRPr="00CE5867">
          <w:rPr>
            <w:rStyle w:val="Hyperlink"/>
            <w:rFonts w:ascii="Arial" w:hAnsi="Arial" w:cs="Arial"/>
          </w:rPr>
          <w:t>Health and Social Care Act 2008 Code of Practice</w:t>
        </w:r>
      </w:hyperlink>
      <w:r w:rsidRPr="00CE5867">
        <w:rPr>
          <w:rFonts w:ascii="Arial" w:hAnsi="Arial" w:cs="Arial"/>
        </w:rPr>
        <w:t xml:space="preserve"> on the prevention and control of infections and related guidance. The report will be published on the practice website and will include the following summary: </w:t>
      </w:r>
    </w:p>
    <w:p w14:paraId="386902F6" w14:textId="77777777" w:rsidR="00D34C91" w:rsidRPr="00CE5867" w:rsidRDefault="00D34C91" w:rsidP="00D34C91">
      <w:pPr>
        <w:pStyle w:val="ListParagraph"/>
        <w:numPr>
          <w:ilvl w:val="0"/>
          <w:numId w:val="1"/>
        </w:numPr>
        <w:spacing w:before="100" w:beforeAutospacing="1" w:after="100" w:afterAutospacing="1"/>
        <w:rPr>
          <w:rFonts w:ascii="Arial" w:hAnsi="Arial" w:cs="Arial"/>
        </w:rPr>
      </w:pPr>
      <w:r w:rsidRPr="00CE5867">
        <w:rPr>
          <w:rFonts w:ascii="Arial" w:hAnsi="Arial" w:cs="Arial"/>
        </w:rPr>
        <w:t xml:space="preserve">Any infection transmission incidents and any action taken (these will have been reported in accordance with our significant event procedure) </w:t>
      </w:r>
    </w:p>
    <w:p w14:paraId="2FA36E5C" w14:textId="77777777" w:rsidR="00D34C91" w:rsidRPr="00CE5867" w:rsidRDefault="00D34C91" w:rsidP="00D34C91">
      <w:pPr>
        <w:pStyle w:val="ListParagraph"/>
        <w:numPr>
          <w:ilvl w:val="0"/>
          <w:numId w:val="1"/>
        </w:numPr>
        <w:spacing w:before="100" w:beforeAutospacing="1" w:after="100" w:afterAutospacing="1"/>
        <w:rPr>
          <w:rFonts w:ascii="Arial" w:hAnsi="Arial" w:cs="Arial"/>
        </w:rPr>
      </w:pPr>
      <w:r w:rsidRPr="00CE5867">
        <w:rPr>
          <w:rFonts w:ascii="Arial" w:hAnsi="Arial" w:cs="Arial"/>
        </w:rPr>
        <w:t xml:space="preserve">Details of any infection control audits carried out, and actions undertaken </w:t>
      </w:r>
    </w:p>
    <w:p w14:paraId="2BCD94D7" w14:textId="77777777" w:rsidR="00D34C91" w:rsidRPr="00CE5867" w:rsidRDefault="00D34C91" w:rsidP="00D34C91">
      <w:pPr>
        <w:pStyle w:val="ListParagraph"/>
        <w:numPr>
          <w:ilvl w:val="0"/>
          <w:numId w:val="1"/>
        </w:numPr>
        <w:spacing w:before="100" w:beforeAutospacing="1" w:after="100" w:afterAutospacing="1"/>
        <w:rPr>
          <w:rFonts w:ascii="Arial" w:hAnsi="Arial" w:cs="Arial"/>
        </w:rPr>
      </w:pPr>
      <w:r w:rsidRPr="00CE5867">
        <w:rPr>
          <w:rFonts w:ascii="Arial" w:hAnsi="Arial" w:cs="Arial"/>
        </w:rPr>
        <w:t>Details of any risk assessments undertaken for the prevention and control of infection</w:t>
      </w:r>
    </w:p>
    <w:p w14:paraId="08D3D8A5" w14:textId="77777777" w:rsidR="00D34C91" w:rsidRPr="00CE5867" w:rsidRDefault="00D34C91" w:rsidP="00D34C91">
      <w:pPr>
        <w:pStyle w:val="ListParagraph"/>
        <w:numPr>
          <w:ilvl w:val="0"/>
          <w:numId w:val="1"/>
        </w:numPr>
        <w:spacing w:before="100" w:beforeAutospacing="1" w:after="100" w:afterAutospacing="1"/>
        <w:rPr>
          <w:rFonts w:ascii="Arial" w:hAnsi="Arial" w:cs="Arial"/>
        </w:rPr>
      </w:pPr>
      <w:r w:rsidRPr="00CE5867">
        <w:rPr>
          <w:rFonts w:ascii="Arial" w:hAnsi="Arial" w:cs="Arial"/>
        </w:rPr>
        <w:t xml:space="preserve">Details of staff training </w:t>
      </w:r>
    </w:p>
    <w:p w14:paraId="422AF1EE" w14:textId="77777777" w:rsidR="00D34C91" w:rsidRPr="00CE5867" w:rsidRDefault="00D34C91" w:rsidP="00D34C91">
      <w:pPr>
        <w:pStyle w:val="ListParagraph"/>
        <w:numPr>
          <w:ilvl w:val="0"/>
          <w:numId w:val="1"/>
        </w:numPr>
        <w:spacing w:before="100" w:beforeAutospacing="1" w:after="100" w:afterAutospacing="1"/>
        <w:rPr>
          <w:rFonts w:ascii="Arial" w:hAnsi="Arial" w:cs="Arial"/>
        </w:rPr>
      </w:pPr>
      <w:r w:rsidRPr="00CE5867">
        <w:rPr>
          <w:rFonts w:ascii="Arial" w:hAnsi="Arial" w:cs="Arial"/>
        </w:rPr>
        <w:t xml:space="preserve">Any review and update of policies, procedures, and guidelines  </w:t>
      </w:r>
    </w:p>
    <w:p w14:paraId="76DF0DCF" w14:textId="77777777" w:rsidR="00D34C91" w:rsidRPr="00BB7FAE" w:rsidRDefault="00D34C91" w:rsidP="00D34C91">
      <w:pPr>
        <w:rPr>
          <w:rFonts w:ascii="Arial" w:hAnsi="Arial" w:cs="Arial"/>
          <w:b/>
        </w:rPr>
      </w:pPr>
      <w:r w:rsidRPr="00BB7FAE">
        <w:rPr>
          <w:rFonts w:ascii="Arial" w:hAnsi="Arial" w:cs="Arial"/>
          <w:b/>
        </w:rPr>
        <w:t xml:space="preserve">Infection Prevention and Control (IPC) lead </w:t>
      </w:r>
    </w:p>
    <w:p w14:paraId="6621C6F1" w14:textId="77777777" w:rsidR="00D34C91" w:rsidRPr="00BB7FAE" w:rsidRDefault="00D34C91" w:rsidP="00D34C91">
      <w:pPr>
        <w:rPr>
          <w:rFonts w:ascii="Arial" w:eastAsiaTheme="minorHAnsi" w:hAnsi="Arial" w:cs="Arial"/>
          <w:b/>
        </w:rPr>
      </w:pPr>
    </w:p>
    <w:p w14:paraId="38D9F86C" w14:textId="48D8FF7B" w:rsidR="00D34C91" w:rsidRDefault="00D34C91" w:rsidP="00D34C91">
      <w:pPr>
        <w:rPr>
          <w:rFonts w:ascii="Arial" w:hAnsi="Arial" w:cs="Arial"/>
        </w:rPr>
      </w:pPr>
      <w:r w:rsidRPr="00BB7FAE">
        <w:rPr>
          <w:rFonts w:ascii="Arial" w:hAnsi="Arial" w:cs="Arial"/>
        </w:rPr>
        <w:t>The Infection Control Lead will enable the integration of Infection Control principles into standards of care with the Practice, by acting as a link between the Practice and</w:t>
      </w:r>
      <w:r>
        <w:rPr>
          <w:rFonts w:ascii="Arial" w:hAnsi="Arial" w:cs="Arial"/>
        </w:rPr>
        <w:t xml:space="preserve"> Stockport Health Protection Unit </w:t>
      </w:r>
      <w:r w:rsidR="008B38ED">
        <w:rPr>
          <w:rFonts w:ascii="Arial" w:hAnsi="Arial" w:cs="Arial"/>
        </w:rPr>
        <w:t xml:space="preserve">and </w:t>
      </w:r>
      <w:r w:rsidRPr="00BB7FAE">
        <w:rPr>
          <w:rFonts w:ascii="Arial" w:hAnsi="Arial" w:cs="Arial"/>
        </w:rPr>
        <w:t xml:space="preserve">Infection </w:t>
      </w:r>
      <w:r w:rsidR="008B38ED">
        <w:rPr>
          <w:rFonts w:ascii="Arial" w:hAnsi="Arial" w:cs="Arial"/>
        </w:rPr>
        <w:t>Control</w:t>
      </w:r>
      <w:r w:rsidRPr="00BB7FAE">
        <w:rPr>
          <w:rFonts w:ascii="Arial" w:hAnsi="Arial" w:cs="Arial"/>
        </w:rPr>
        <w:t>. They will be the first point of contact for practice staff in respect of Infection Control issues. They will help create and maintain an environment which will ensure the safety of the patient/client, carers, visitors, and health care workers in relation to Healthcare Associated Infection (HCAI).</w:t>
      </w:r>
    </w:p>
    <w:p w14:paraId="5F1F1607" w14:textId="77777777" w:rsidR="00D34C91" w:rsidRPr="00BB7FAE" w:rsidRDefault="00D34C91" w:rsidP="00D34C91">
      <w:pPr>
        <w:rPr>
          <w:rFonts w:ascii="Arial" w:hAnsi="Arial" w:cs="Arial"/>
        </w:rPr>
      </w:pPr>
    </w:p>
    <w:p w14:paraId="6638A08D" w14:textId="30D41883" w:rsidR="00D34C91" w:rsidRPr="00CE5867" w:rsidRDefault="00D34C91" w:rsidP="00D34C91">
      <w:pPr>
        <w:jc w:val="both"/>
        <w:rPr>
          <w:rFonts w:ascii="Arial" w:hAnsi="Arial" w:cs="Arial"/>
        </w:rPr>
      </w:pPr>
      <w:r w:rsidRPr="00BB7FAE">
        <w:rPr>
          <w:rFonts w:ascii="Arial" w:hAnsi="Arial" w:cs="Arial"/>
          <w:b/>
        </w:rPr>
        <w:t xml:space="preserve">Practice Infection Control Leads: </w:t>
      </w:r>
      <w:r>
        <w:rPr>
          <w:rFonts w:ascii="Arial" w:hAnsi="Arial" w:cs="Arial"/>
          <w:b/>
        </w:rPr>
        <w:t>Dr Anna Lancashire, GP Partner and Hannah Collins, Practice Nurse</w:t>
      </w:r>
      <w:r w:rsidRPr="00CE5867">
        <w:rPr>
          <w:rFonts w:ascii="Arial" w:hAnsi="Arial" w:cs="Arial"/>
        </w:rPr>
        <w:t xml:space="preserve">.  </w:t>
      </w:r>
    </w:p>
    <w:p w14:paraId="257426AD" w14:textId="77777777" w:rsidR="00D34C91" w:rsidRPr="00CE5867" w:rsidRDefault="00D34C91" w:rsidP="00D34C91">
      <w:pPr>
        <w:spacing w:before="100" w:beforeAutospacing="1" w:after="100" w:afterAutospacing="1"/>
        <w:rPr>
          <w:rFonts w:ascii="Arial" w:hAnsi="Arial" w:cs="Arial"/>
          <w:b/>
        </w:rPr>
      </w:pPr>
      <w:r w:rsidRPr="00CE5867">
        <w:rPr>
          <w:rFonts w:ascii="Arial" w:hAnsi="Arial" w:cs="Arial"/>
          <w:b/>
        </w:rPr>
        <w:t>a.</w:t>
      </w:r>
      <w:r w:rsidRPr="00CE5867">
        <w:rPr>
          <w:rFonts w:ascii="Arial" w:hAnsi="Arial" w:cs="Arial"/>
          <w:b/>
        </w:rPr>
        <w:tab/>
        <w:t xml:space="preserve">Infection transmission incidents (significant events) </w:t>
      </w:r>
    </w:p>
    <w:p w14:paraId="73FC9270" w14:textId="77777777" w:rsidR="00D34C91" w:rsidRPr="00CE5867" w:rsidRDefault="00D34C91" w:rsidP="00D34C91">
      <w:pPr>
        <w:spacing w:before="100" w:beforeAutospacing="1" w:after="100" w:afterAutospacing="1"/>
        <w:ind w:left="709"/>
        <w:rPr>
          <w:rFonts w:ascii="Arial" w:hAnsi="Arial" w:cs="Arial"/>
        </w:rPr>
      </w:pPr>
      <w:r w:rsidRPr="00CE5867">
        <w:rPr>
          <w:rFonts w:ascii="Arial" w:hAnsi="Arial" w:cs="Arial"/>
        </w:rPr>
        <w:t>Significant events involve examples of good practice as well as challenging events.</w:t>
      </w:r>
    </w:p>
    <w:p w14:paraId="3B8AB97D" w14:textId="77777777" w:rsidR="00D34C91" w:rsidRPr="00CE5867" w:rsidRDefault="00D34C91" w:rsidP="00D34C91">
      <w:pPr>
        <w:spacing w:before="100" w:beforeAutospacing="1" w:after="100" w:afterAutospacing="1"/>
        <w:ind w:left="709"/>
        <w:rPr>
          <w:rFonts w:ascii="Arial" w:hAnsi="Arial" w:cs="Arial"/>
        </w:rPr>
      </w:pPr>
      <w:r w:rsidRPr="00CE5867">
        <w:rPr>
          <w:rFonts w:ascii="Arial" w:hAnsi="Arial" w:cs="Arial"/>
        </w:rPr>
        <w:t xml:space="preserve">Positive events are discussed at meetings to allow all staff to be appraised in areas of best practice. </w:t>
      </w:r>
    </w:p>
    <w:p w14:paraId="53FAD257" w14:textId="77777777" w:rsidR="00D34C91" w:rsidRPr="00CE5867" w:rsidRDefault="00D34C91" w:rsidP="00D34C91">
      <w:pPr>
        <w:spacing w:before="100" w:beforeAutospacing="1" w:after="100" w:afterAutospacing="1"/>
        <w:ind w:left="709"/>
        <w:rPr>
          <w:rFonts w:ascii="Arial" w:hAnsi="Arial" w:cs="Arial"/>
        </w:rPr>
      </w:pPr>
      <w:r w:rsidRPr="00CE5867">
        <w:rPr>
          <w:rFonts w:ascii="Arial" w:hAnsi="Arial" w:cs="Arial"/>
        </w:rPr>
        <w:t>Negative events are managed by the staff member who either identified or was advised of any potential shortcoming. This person will complete a Significant Event Analysis (SEA) form which commences an investigation process to establish what can be learnt and to indicate changes that might lead to future improvements.</w:t>
      </w:r>
    </w:p>
    <w:p w14:paraId="58643CF4" w14:textId="25B9E321" w:rsidR="00D34C91" w:rsidRDefault="00D34C91" w:rsidP="00D34C91">
      <w:pPr>
        <w:spacing w:before="100" w:beforeAutospacing="1" w:after="100" w:afterAutospacing="1"/>
        <w:ind w:left="709"/>
        <w:rPr>
          <w:rFonts w:ascii="Arial" w:hAnsi="Arial" w:cs="Arial"/>
        </w:rPr>
      </w:pPr>
      <w:r w:rsidRPr="00CE5867">
        <w:rPr>
          <w:rFonts w:ascii="Arial" w:hAnsi="Arial" w:cs="Arial"/>
        </w:rPr>
        <w:t xml:space="preserve">All significant events are reviewed and discussed at several meetings each month. Any learning points are cascaded to all relevant staff where an action plan, including audits or policy review, may follow. </w:t>
      </w:r>
    </w:p>
    <w:p w14:paraId="3250F2B4" w14:textId="77777777" w:rsidR="00B5285E" w:rsidRDefault="00B5285E" w:rsidP="00B5285E">
      <w:pPr>
        <w:spacing w:before="100" w:beforeAutospacing="1" w:after="100" w:afterAutospacing="1"/>
        <w:ind w:left="680"/>
        <w:rPr>
          <w:rFonts w:ascii="Arial" w:hAnsi="Arial" w:cs="Arial"/>
          <w:b/>
          <w:bCs/>
        </w:rPr>
      </w:pPr>
      <w:r w:rsidRPr="00B5285E">
        <w:rPr>
          <w:rFonts w:ascii="Arial" w:hAnsi="Arial" w:cs="Arial"/>
          <w:b/>
          <w:bCs/>
        </w:rPr>
        <w:t xml:space="preserve">Infection Control Incident Reported:  MRSA – blood steam infection </w:t>
      </w:r>
    </w:p>
    <w:p w14:paraId="0CA4FFFB" w14:textId="408DC6A3" w:rsidR="00B5285E" w:rsidRPr="00CE5867" w:rsidRDefault="00B5285E" w:rsidP="00B5285E">
      <w:pPr>
        <w:spacing w:before="100" w:beforeAutospacing="1" w:after="100" w:afterAutospacing="1"/>
        <w:ind w:left="680"/>
        <w:rPr>
          <w:rFonts w:ascii="Arial" w:hAnsi="Arial" w:cs="Arial"/>
        </w:rPr>
      </w:pPr>
      <w:r>
        <w:rPr>
          <w:rFonts w:ascii="Arial" w:hAnsi="Arial" w:cs="Arial"/>
        </w:rPr>
        <w:t xml:space="preserve">The practice was notified on 27 April 2023 by Stockport Health Protection Unit and Control </w:t>
      </w:r>
      <w:r w:rsidRPr="00BB7FAE">
        <w:rPr>
          <w:rFonts w:ascii="Arial" w:hAnsi="Arial" w:cs="Arial"/>
        </w:rPr>
        <w:t>of Infection Unit</w:t>
      </w:r>
      <w:r>
        <w:rPr>
          <w:rFonts w:ascii="Arial" w:hAnsi="Arial" w:cs="Arial"/>
        </w:rPr>
        <w:t xml:space="preserve"> Public that an MRSA infection linked to the practice. The practice has been duly informed that no issues have been identified.</w:t>
      </w:r>
    </w:p>
    <w:p w14:paraId="340612E2" w14:textId="77777777" w:rsidR="00B5285E" w:rsidRDefault="00D34C91" w:rsidP="00E6636E">
      <w:pPr>
        <w:ind w:left="680"/>
        <w:rPr>
          <w:rFonts w:ascii="Arial" w:hAnsi="Arial" w:cs="Arial"/>
        </w:rPr>
      </w:pPr>
      <w:r w:rsidRPr="00D34C91">
        <w:rPr>
          <w:rFonts w:ascii="Arial" w:hAnsi="Arial" w:cs="Arial"/>
        </w:rPr>
        <w:t xml:space="preserve">There have also been no complaints made regarding cleanliness or infection control. </w:t>
      </w:r>
    </w:p>
    <w:p w14:paraId="2A45248A" w14:textId="77777777" w:rsidR="00B5285E" w:rsidRDefault="00B5285E" w:rsidP="00D34C91">
      <w:pPr>
        <w:rPr>
          <w:rFonts w:ascii="Arial" w:hAnsi="Arial" w:cs="Arial"/>
        </w:rPr>
      </w:pPr>
    </w:p>
    <w:p w14:paraId="18834551" w14:textId="680F33DA" w:rsidR="00D34C91" w:rsidRPr="00D34C91" w:rsidRDefault="00D34C91" w:rsidP="00D34C91">
      <w:pPr>
        <w:rPr>
          <w:rFonts w:ascii="Arial" w:hAnsi="Arial" w:cs="Arial"/>
        </w:rPr>
      </w:pPr>
      <w:r w:rsidRPr="00D34C91">
        <w:rPr>
          <w:rFonts w:ascii="Arial" w:hAnsi="Arial" w:cs="Arial"/>
        </w:rPr>
        <w:t xml:space="preserve"> </w:t>
      </w:r>
    </w:p>
    <w:p w14:paraId="4B4E08CD" w14:textId="77777777" w:rsidR="00D34C91" w:rsidRPr="00CE5867" w:rsidRDefault="00D34C91" w:rsidP="00D34C91">
      <w:pPr>
        <w:spacing w:before="100" w:beforeAutospacing="1" w:after="100" w:afterAutospacing="1"/>
        <w:rPr>
          <w:rFonts w:ascii="Arial" w:hAnsi="Arial" w:cs="Arial"/>
          <w:b/>
        </w:rPr>
      </w:pPr>
      <w:r w:rsidRPr="00CE5867">
        <w:rPr>
          <w:rFonts w:ascii="Arial" w:hAnsi="Arial" w:cs="Arial"/>
          <w:b/>
        </w:rPr>
        <w:lastRenderedPageBreak/>
        <w:t>b.</w:t>
      </w:r>
      <w:r w:rsidRPr="00CE5867">
        <w:rPr>
          <w:rFonts w:ascii="Arial" w:hAnsi="Arial" w:cs="Arial"/>
          <w:b/>
        </w:rPr>
        <w:tab/>
        <w:t xml:space="preserve">Infection prevention audit and actions </w:t>
      </w:r>
    </w:p>
    <w:p w14:paraId="0BB46C3B" w14:textId="6235C14D" w:rsidR="00D34C91" w:rsidRDefault="008B38ED" w:rsidP="00D34C91">
      <w:pPr>
        <w:spacing w:before="100" w:beforeAutospacing="1" w:after="100" w:afterAutospacing="1"/>
        <w:ind w:left="709"/>
        <w:rPr>
          <w:rFonts w:ascii="Arial" w:hAnsi="Arial" w:cs="Arial"/>
        </w:rPr>
      </w:pPr>
      <w:r>
        <w:rPr>
          <w:rFonts w:ascii="Arial" w:hAnsi="Arial" w:cs="Arial"/>
        </w:rPr>
        <w:t>The l</w:t>
      </w:r>
      <w:r w:rsidR="00D34C91" w:rsidRPr="00D34C91">
        <w:rPr>
          <w:rFonts w:ascii="Arial" w:hAnsi="Arial" w:cs="Arial"/>
        </w:rPr>
        <w:t xml:space="preserve">ast </w:t>
      </w:r>
      <w:r>
        <w:rPr>
          <w:rFonts w:ascii="Arial" w:hAnsi="Arial" w:cs="Arial"/>
        </w:rPr>
        <w:t xml:space="preserve">CQC </w:t>
      </w:r>
      <w:r w:rsidR="00D34C91" w:rsidRPr="00D34C91">
        <w:rPr>
          <w:rFonts w:ascii="Arial" w:hAnsi="Arial" w:cs="Arial"/>
        </w:rPr>
        <w:t xml:space="preserve">inspection was 23 November 2016. </w:t>
      </w:r>
      <w:r w:rsidR="00E0656F">
        <w:rPr>
          <w:rFonts w:ascii="Arial" w:hAnsi="Arial" w:cs="Arial"/>
        </w:rPr>
        <w:t xml:space="preserve">The </w:t>
      </w:r>
      <w:r w:rsidR="00D34C91" w:rsidRPr="00D34C91">
        <w:rPr>
          <w:rFonts w:ascii="Arial" w:hAnsi="Arial" w:cs="Arial"/>
        </w:rPr>
        <w:t>CQC last reviewed information and data available</w:t>
      </w:r>
      <w:r w:rsidR="00E0656F">
        <w:rPr>
          <w:rFonts w:ascii="Arial" w:hAnsi="Arial" w:cs="Arial"/>
        </w:rPr>
        <w:t xml:space="preserve"> about the practice on</w:t>
      </w:r>
      <w:r w:rsidR="00D34C91" w:rsidRPr="00D34C91">
        <w:rPr>
          <w:rFonts w:ascii="Arial" w:hAnsi="Arial" w:cs="Arial"/>
        </w:rPr>
        <w:t xml:space="preserve"> 8 June 2023 </w:t>
      </w:r>
      <w:r w:rsidR="00E0656F">
        <w:rPr>
          <w:rFonts w:ascii="Arial" w:hAnsi="Arial" w:cs="Arial"/>
        </w:rPr>
        <w:t xml:space="preserve">– No </w:t>
      </w:r>
      <w:r w:rsidR="00D34C91" w:rsidRPr="00D34C91">
        <w:rPr>
          <w:rFonts w:ascii="Arial" w:hAnsi="Arial" w:cs="Arial"/>
        </w:rPr>
        <w:t>re</w:t>
      </w:r>
      <w:r w:rsidR="00D34C91">
        <w:rPr>
          <w:rFonts w:ascii="Arial" w:hAnsi="Arial" w:cs="Arial"/>
        </w:rPr>
        <w:t>c</w:t>
      </w:r>
      <w:r w:rsidR="00D34C91" w:rsidRPr="00D34C91">
        <w:rPr>
          <w:rFonts w:ascii="Arial" w:hAnsi="Arial" w:cs="Arial"/>
        </w:rPr>
        <w:t>ommendations were made</w:t>
      </w:r>
      <w:r w:rsidR="00D34C91">
        <w:rPr>
          <w:rFonts w:ascii="Arial" w:hAnsi="Arial" w:cs="Arial"/>
        </w:rPr>
        <w:t>.</w:t>
      </w:r>
    </w:p>
    <w:p w14:paraId="0913CA29" w14:textId="71D2111C" w:rsidR="00E0656F" w:rsidRDefault="00D34C91" w:rsidP="00D34C91">
      <w:pPr>
        <w:spacing w:before="100" w:beforeAutospacing="1" w:after="100" w:afterAutospacing="1"/>
        <w:ind w:left="709"/>
        <w:rPr>
          <w:rFonts w:ascii="Arial" w:hAnsi="Arial" w:cs="Arial"/>
        </w:rPr>
      </w:pPr>
      <w:r>
        <w:rPr>
          <w:rFonts w:ascii="Arial" w:hAnsi="Arial" w:cs="Arial"/>
        </w:rPr>
        <w:t xml:space="preserve">Stockport Health Protection Unit </w:t>
      </w:r>
      <w:r w:rsidR="008B38ED">
        <w:rPr>
          <w:rFonts w:ascii="Arial" w:hAnsi="Arial" w:cs="Arial"/>
        </w:rPr>
        <w:t xml:space="preserve">and </w:t>
      </w:r>
      <w:r w:rsidR="00B5285E">
        <w:rPr>
          <w:rFonts w:ascii="Arial" w:hAnsi="Arial" w:cs="Arial"/>
        </w:rPr>
        <w:t>C</w:t>
      </w:r>
      <w:r w:rsidR="008B38ED">
        <w:rPr>
          <w:rFonts w:ascii="Arial" w:hAnsi="Arial" w:cs="Arial"/>
        </w:rPr>
        <w:t xml:space="preserve">ontrol </w:t>
      </w:r>
      <w:r w:rsidRPr="00BB7FAE">
        <w:rPr>
          <w:rFonts w:ascii="Arial" w:hAnsi="Arial" w:cs="Arial"/>
        </w:rPr>
        <w:t>of Infection Unit</w:t>
      </w:r>
      <w:r>
        <w:rPr>
          <w:rFonts w:ascii="Arial" w:hAnsi="Arial" w:cs="Arial"/>
        </w:rPr>
        <w:t xml:space="preserve"> attend</w:t>
      </w:r>
      <w:r w:rsidR="008B38ED">
        <w:rPr>
          <w:rFonts w:ascii="Arial" w:hAnsi="Arial" w:cs="Arial"/>
        </w:rPr>
        <w:t>ed</w:t>
      </w:r>
      <w:r>
        <w:rPr>
          <w:rFonts w:ascii="Arial" w:hAnsi="Arial" w:cs="Arial"/>
        </w:rPr>
        <w:t xml:space="preserve"> the practice on</w:t>
      </w:r>
    </w:p>
    <w:p w14:paraId="23A8B90D" w14:textId="31446DF3" w:rsidR="00D34C91" w:rsidRDefault="00D34C91" w:rsidP="00D34C91">
      <w:pPr>
        <w:spacing w:before="100" w:beforeAutospacing="1" w:after="100" w:afterAutospacing="1"/>
        <w:ind w:left="709"/>
        <w:rPr>
          <w:rFonts w:ascii="Arial" w:hAnsi="Arial" w:cs="Arial"/>
        </w:rPr>
      </w:pPr>
      <w:r>
        <w:rPr>
          <w:rFonts w:ascii="Arial" w:hAnsi="Arial" w:cs="Arial"/>
        </w:rPr>
        <w:t>4 March 2018 the outcome of the IPC Inspection was Outstanding</w:t>
      </w:r>
      <w:r w:rsidR="008B38ED">
        <w:rPr>
          <w:rFonts w:ascii="Arial" w:hAnsi="Arial" w:cs="Arial"/>
        </w:rPr>
        <w:t>.</w:t>
      </w:r>
      <w:r>
        <w:rPr>
          <w:rFonts w:ascii="Arial" w:hAnsi="Arial" w:cs="Arial"/>
        </w:rPr>
        <w:t xml:space="preserve"> </w:t>
      </w:r>
    </w:p>
    <w:p w14:paraId="01D45A34" w14:textId="76107E79" w:rsidR="008B38ED" w:rsidRPr="008B38ED" w:rsidRDefault="008B38ED" w:rsidP="00D34C91">
      <w:pPr>
        <w:spacing w:before="100" w:beforeAutospacing="1" w:after="100" w:afterAutospacing="1"/>
        <w:ind w:left="709"/>
        <w:rPr>
          <w:rFonts w:ascii="Arial" w:hAnsi="Arial" w:cs="Arial"/>
        </w:rPr>
      </w:pPr>
      <w:r w:rsidRPr="008B38ED">
        <w:rPr>
          <w:rFonts w:ascii="Arial" w:hAnsi="Arial" w:cs="Arial"/>
        </w:rPr>
        <w:t>D</w:t>
      </w:r>
      <w:r w:rsidR="00D34C91" w:rsidRPr="008B38ED">
        <w:rPr>
          <w:rFonts w:ascii="Arial" w:hAnsi="Arial" w:cs="Arial"/>
        </w:rPr>
        <w:t>uring the period 1 Apr</w:t>
      </w:r>
      <w:r w:rsidRPr="008B38ED">
        <w:rPr>
          <w:rFonts w:ascii="Arial" w:hAnsi="Arial" w:cs="Arial"/>
        </w:rPr>
        <w:t>il 2022 and 31 March 202</w:t>
      </w:r>
      <w:r>
        <w:rPr>
          <w:rFonts w:ascii="Arial" w:hAnsi="Arial" w:cs="Arial"/>
        </w:rPr>
        <w:t>3</w:t>
      </w:r>
      <w:r w:rsidRPr="008B38ED">
        <w:rPr>
          <w:rFonts w:ascii="Arial" w:hAnsi="Arial" w:cs="Arial"/>
        </w:rPr>
        <w:t xml:space="preserve"> audits conducted </w:t>
      </w:r>
      <w:r>
        <w:rPr>
          <w:rFonts w:ascii="Arial" w:hAnsi="Arial" w:cs="Arial"/>
        </w:rPr>
        <w:t>were:</w:t>
      </w:r>
    </w:p>
    <w:p w14:paraId="23AFC3EA" w14:textId="4661DF3D" w:rsidR="008B38ED" w:rsidRPr="00E6636E" w:rsidRDefault="008B38ED" w:rsidP="00D34C91">
      <w:pPr>
        <w:spacing w:before="100" w:beforeAutospacing="1" w:after="100" w:afterAutospacing="1"/>
        <w:ind w:left="709"/>
        <w:rPr>
          <w:rFonts w:ascii="Arial" w:hAnsi="Arial" w:cs="Arial"/>
        </w:rPr>
      </w:pPr>
      <w:r w:rsidRPr="00E6636E">
        <w:rPr>
          <w:rFonts w:ascii="Arial" w:hAnsi="Arial" w:cs="Arial"/>
        </w:rPr>
        <w:t xml:space="preserve">Sub Dermal Implants and Intra-uterine Contraceptive Devices </w:t>
      </w:r>
    </w:p>
    <w:p w14:paraId="262F27FE" w14:textId="45FB50A3" w:rsidR="008B38ED" w:rsidRPr="008B38ED" w:rsidRDefault="008B38ED" w:rsidP="00D34C91">
      <w:pPr>
        <w:spacing w:before="100" w:beforeAutospacing="1" w:after="100" w:afterAutospacing="1"/>
        <w:ind w:left="709"/>
        <w:rPr>
          <w:rFonts w:ascii="Arial" w:hAnsi="Arial" w:cs="Arial"/>
        </w:rPr>
      </w:pPr>
      <w:r w:rsidRPr="008B38ED">
        <w:rPr>
          <w:rFonts w:ascii="Arial" w:hAnsi="Arial" w:cs="Arial"/>
        </w:rPr>
        <w:t>Other audit to be completed in 2023 – Minor Surgery to include Joint Injections, Incisions and Excisions.</w:t>
      </w:r>
    </w:p>
    <w:p w14:paraId="3427390B" w14:textId="1F516307" w:rsidR="00D34C91" w:rsidRPr="00CE5867" w:rsidRDefault="008B38ED" w:rsidP="00D34C91">
      <w:pPr>
        <w:spacing w:before="100" w:beforeAutospacing="1" w:after="100" w:afterAutospacing="1"/>
        <w:ind w:left="709"/>
        <w:rPr>
          <w:rFonts w:ascii="Arial" w:hAnsi="Arial" w:cs="Arial"/>
        </w:rPr>
      </w:pPr>
      <w:r w:rsidRPr="008B38ED">
        <w:rPr>
          <w:rFonts w:ascii="Arial" w:hAnsi="Arial" w:cs="Arial"/>
        </w:rPr>
        <w:t xml:space="preserve">The above audits will be </w:t>
      </w:r>
      <w:r>
        <w:rPr>
          <w:rFonts w:ascii="Arial" w:hAnsi="Arial" w:cs="Arial"/>
        </w:rPr>
        <w:t xml:space="preserve">completed </w:t>
      </w:r>
      <w:r w:rsidRPr="008B38ED">
        <w:rPr>
          <w:rFonts w:ascii="Arial" w:hAnsi="Arial" w:cs="Arial"/>
        </w:rPr>
        <w:t>on an annual basis.</w:t>
      </w:r>
    </w:p>
    <w:p w14:paraId="5FC430A3" w14:textId="77777777" w:rsidR="00D34C91" w:rsidRPr="00CE5867" w:rsidRDefault="00D34C91" w:rsidP="00D34C91">
      <w:pPr>
        <w:spacing w:before="100" w:beforeAutospacing="1" w:after="100" w:afterAutospacing="1"/>
        <w:rPr>
          <w:rFonts w:ascii="Arial" w:hAnsi="Arial" w:cs="Arial"/>
          <w:b/>
        </w:rPr>
      </w:pPr>
      <w:r w:rsidRPr="00CE5867">
        <w:rPr>
          <w:rFonts w:ascii="Arial" w:hAnsi="Arial" w:cs="Arial"/>
          <w:b/>
        </w:rPr>
        <w:t>c.</w:t>
      </w:r>
      <w:r w:rsidRPr="00CE5867">
        <w:rPr>
          <w:rFonts w:ascii="Arial" w:hAnsi="Arial" w:cs="Arial"/>
          <w:b/>
        </w:rPr>
        <w:tab/>
        <w:t xml:space="preserve">Risk assessments  </w:t>
      </w:r>
    </w:p>
    <w:p w14:paraId="048ACEA9" w14:textId="323BDC02" w:rsidR="00D34C91" w:rsidRPr="00CE5867" w:rsidRDefault="00D34C91" w:rsidP="00D34C91">
      <w:pPr>
        <w:spacing w:before="100" w:beforeAutospacing="1" w:after="100" w:afterAutospacing="1"/>
        <w:ind w:left="709"/>
        <w:rPr>
          <w:rFonts w:ascii="Arial" w:hAnsi="Arial" w:cs="Arial"/>
        </w:rPr>
      </w:pPr>
      <w:r w:rsidRPr="00CE5867">
        <w:rPr>
          <w:rFonts w:ascii="Arial" w:hAnsi="Arial" w:cs="Arial"/>
        </w:rPr>
        <w:t xml:space="preserve">Risk assessments are carried out so that any risk is minimised </w:t>
      </w:r>
      <w:proofErr w:type="gramStart"/>
      <w:r w:rsidR="00E6636E">
        <w:rPr>
          <w:rFonts w:ascii="Arial" w:hAnsi="Arial" w:cs="Arial"/>
        </w:rPr>
        <w:t>to</w:t>
      </w:r>
      <w:proofErr w:type="gramEnd"/>
      <w:r w:rsidR="00E6636E">
        <w:rPr>
          <w:rFonts w:ascii="Arial" w:hAnsi="Arial" w:cs="Arial"/>
        </w:rPr>
        <w:t xml:space="preserve"> as </w:t>
      </w:r>
      <w:r w:rsidRPr="00CE5867">
        <w:rPr>
          <w:rFonts w:ascii="Arial" w:hAnsi="Arial" w:cs="Arial"/>
        </w:rPr>
        <w:t xml:space="preserve">low as is reasonably practicable. Additionally, a risk assessment </w:t>
      </w:r>
      <w:r w:rsidR="00E6636E">
        <w:rPr>
          <w:rFonts w:ascii="Arial" w:hAnsi="Arial" w:cs="Arial"/>
        </w:rPr>
        <w:t xml:space="preserve">to </w:t>
      </w:r>
      <w:r w:rsidRPr="00CE5867">
        <w:rPr>
          <w:rFonts w:ascii="Arial" w:hAnsi="Arial" w:cs="Arial"/>
        </w:rPr>
        <w:t xml:space="preserve">identify best practice </w:t>
      </w:r>
      <w:r w:rsidR="00E6636E">
        <w:rPr>
          <w:rFonts w:ascii="Arial" w:hAnsi="Arial" w:cs="Arial"/>
        </w:rPr>
        <w:t xml:space="preserve">will be </w:t>
      </w:r>
      <w:r w:rsidRPr="00CE5867">
        <w:rPr>
          <w:rFonts w:ascii="Arial" w:hAnsi="Arial" w:cs="Arial"/>
        </w:rPr>
        <w:t>established and followed.</w:t>
      </w:r>
    </w:p>
    <w:p w14:paraId="5C26DD05" w14:textId="669EC642" w:rsidR="00D34C91" w:rsidRPr="00CE5867" w:rsidRDefault="00D34C91" w:rsidP="00D34C91">
      <w:pPr>
        <w:spacing w:before="100" w:beforeAutospacing="1" w:after="100" w:afterAutospacing="1"/>
        <w:ind w:left="709"/>
        <w:rPr>
          <w:rFonts w:ascii="Arial" w:hAnsi="Arial" w:cs="Arial"/>
        </w:rPr>
      </w:pPr>
      <w:r w:rsidRPr="00CE5867">
        <w:rPr>
          <w:rFonts w:ascii="Arial" w:hAnsi="Arial" w:cs="Arial"/>
        </w:rPr>
        <w:t xml:space="preserve">In the last year, the following risk assessments were </w:t>
      </w:r>
      <w:r w:rsidR="00E6636E">
        <w:rPr>
          <w:rFonts w:ascii="Arial" w:hAnsi="Arial" w:cs="Arial"/>
        </w:rPr>
        <w:t>undertaken</w:t>
      </w:r>
      <w:r w:rsidRPr="00CE5867">
        <w:rPr>
          <w:rFonts w:ascii="Arial" w:hAnsi="Arial" w:cs="Arial"/>
        </w:rPr>
        <w:t xml:space="preserve">/reviewed: </w:t>
      </w:r>
    </w:p>
    <w:p w14:paraId="23E8768C" w14:textId="77777777" w:rsidR="00D34C91" w:rsidRPr="00CE5867" w:rsidRDefault="00D34C91" w:rsidP="00D34C91">
      <w:pPr>
        <w:pStyle w:val="ListParagraph"/>
        <w:numPr>
          <w:ilvl w:val="0"/>
          <w:numId w:val="2"/>
        </w:numPr>
        <w:spacing w:before="100" w:beforeAutospacing="1" w:after="100" w:afterAutospacing="1"/>
        <w:rPr>
          <w:rFonts w:ascii="Arial" w:hAnsi="Arial" w:cs="Arial"/>
        </w:rPr>
      </w:pPr>
      <w:r w:rsidRPr="00CE5867">
        <w:rPr>
          <w:rFonts w:ascii="Arial" w:hAnsi="Arial" w:cs="Arial"/>
        </w:rPr>
        <w:t>Privacy curtain cleaning or changes</w:t>
      </w:r>
    </w:p>
    <w:p w14:paraId="6C787F37" w14:textId="77777777" w:rsidR="00D34C91" w:rsidRPr="00CE5867" w:rsidRDefault="00D34C91" w:rsidP="00D34C91">
      <w:pPr>
        <w:pStyle w:val="ListParagraph"/>
        <w:numPr>
          <w:ilvl w:val="0"/>
          <w:numId w:val="2"/>
        </w:numPr>
        <w:spacing w:before="100" w:beforeAutospacing="1" w:after="100" w:afterAutospacing="1"/>
        <w:rPr>
          <w:rFonts w:ascii="Arial" w:hAnsi="Arial" w:cs="Arial"/>
        </w:rPr>
      </w:pPr>
      <w:r w:rsidRPr="00CE5867">
        <w:rPr>
          <w:rFonts w:ascii="Arial" w:hAnsi="Arial" w:cs="Arial"/>
        </w:rPr>
        <w:t>Water safety</w:t>
      </w:r>
    </w:p>
    <w:p w14:paraId="75DA8DCF" w14:textId="035CC77D" w:rsidR="00D34C91" w:rsidRDefault="00D34C91" w:rsidP="00D34C91">
      <w:pPr>
        <w:spacing w:before="100" w:beforeAutospacing="1" w:after="100" w:afterAutospacing="1"/>
        <w:ind w:left="709"/>
        <w:rPr>
          <w:rFonts w:ascii="Arial" w:hAnsi="Arial" w:cs="Arial"/>
        </w:rPr>
      </w:pPr>
      <w:r w:rsidRPr="00CE5867">
        <w:rPr>
          <w:rFonts w:ascii="Arial" w:hAnsi="Arial" w:cs="Arial"/>
        </w:rPr>
        <w:t xml:space="preserve">In the next year, the following risk assessment will also be reviewed: </w:t>
      </w:r>
    </w:p>
    <w:p w14:paraId="195DB47E" w14:textId="0FF4C8FE" w:rsidR="008B38ED" w:rsidRDefault="008B38ED" w:rsidP="008B38ED">
      <w:pPr>
        <w:pStyle w:val="ListParagraph"/>
        <w:numPr>
          <w:ilvl w:val="0"/>
          <w:numId w:val="6"/>
        </w:numPr>
        <w:spacing w:before="100" w:beforeAutospacing="1" w:after="100" w:afterAutospacing="1"/>
        <w:rPr>
          <w:rFonts w:ascii="Arial" w:hAnsi="Arial" w:cs="Arial"/>
        </w:rPr>
      </w:pPr>
      <w:r>
        <w:rPr>
          <w:rFonts w:ascii="Arial" w:hAnsi="Arial" w:cs="Arial"/>
        </w:rPr>
        <w:t>Cleaning standards</w:t>
      </w:r>
    </w:p>
    <w:p w14:paraId="3CCF82AE" w14:textId="407A8D8A" w:rsidR="008B38ED" w:rsidRDefault="008B38ED" w:rsidP="008B38ED">
      <w:pPr>
        <w:pStyle w:val="ListParagraph"/>
        <w:numPr>
          <w:ilvl w:val="0"/>
          <w:numId w:val="6"/>
        </w:numPr>
        <w:spacing w:before="100" w:beforeAutospacing="1" w:after="100" w:afterAutospacing="1"/>
        <w:rPr>
          <w:rFonts w:ascii="Arial" w:hAnsi="Arial" w:cs="Arial"/>
        </w:rPr>
      </w:pPr>
      <w:r>
        <w:rPr>
          <w:rFonts w:ascii="Arial" w:hAnsi="Arial" w:cs="Arial"/>
        </w:rPr>
        <w:t>COSHH</w:t>
      </w:r>
    </w:p>
    <w:p w14:paraId="3894ADF1" w14:textId="3A3B6A33" w:rsidR="008B38ED" w:rsidRDefault="008B38ED" w:rsidP="008B38ED">
      <w:pPr>
        <w:pStyle w:val="ListParagraph"/>
        <w:numPr>
          <w:ilvl w:val="0"/>
          <w:numId w:val="6"/>
        </w:numPr>
        <w:spacing w:before="100" w:beforeAutospacing="1" w:after="100" w:afterAutospacing="1"/>
        <w:rPr>
          <w:rFonts w:ascii="Arial" w:hAnsi="Arial" w:cs="Arial"/>
        </w:rPr>
      </w:pPr>
      <w:r>
        <w:rPr>
          <w:rFonts w:ascii="Arial" w:hAnsi="Arial" w:cs="Arial"/>
        </w:rPr>
        <w:t>Staff Vaccinations</w:t>
      </w:r>
    </w:p>
    <w:p w14:paraId="1465F727" w14:textId="2CE321BA" w:rsidR="008B38ED" w:rsidRDefault="008B38ED" w:rsidP="008B38ED">
      <w:pPr>
        <w:pStyle w:val="ListParagraph"/>
        <w:numPr>
          <w:ilvl w:val="0"/>
          <w:numId w:val="6"/>
        </w:numPr>
        <w:spacing w:before="100" w:beforeAutospacing="1" w:after="100" w:afterAutospacing="1"/>
        <w:rPr>
          <w:rFonts w:ascii="Arial" w:hAnsi="Arial" w:cs="Arial"/>
        </w:rPr>
      </w:pPr>
      <w:r>
        <w:rPr>
          <w:rFonts w:ascii="Arial" w:hAnsi="Arial" w:cs="Arial"/>
        </w:rPr>
        <w:t>Sharps</w:t>
      </w:r>
    </w:p>
    <w:p w14:paraId="2091A63A" w14:textId="407E43D2" w:rsidR="008B38ED" w:rsidRPr="008B38ED" w:rsidRDefault="008B38ED" w:rsidP="008B38ED">
      <w:pPr>
        <w:pStyle w:val="ListParagraph"/>
        <w:numPr>
          <w:ilvl w:val="0"/>
          <w:numId w:val="6"/>
        </w:numPr>
        <w:spacing w:before="100" w:beforeAutospacing="1" w:after="100" w:afterAutospacing="1"/>
        <w:rPr>
          <w:rFonts w:ascii="Arial" w:hAnsi="Arial" w:cs="Arial"/>
        </w:rPr>
      </w:pPr>
      <w:r>
        <w:rPr>
          <w:rFonts w:ascii="Arial" w:hAnsi="Arial" w:cs="Arial"/>
        </w:rPr>
        <w:t>Aseptic non-touch technique and hand washing audit</w:t>
      </w:r>
    </w:p>
    <w:p w14:paraId="14D251E6" w14:textId="2FA2213D" w:rsidR="00D34C91" w:rsidRPr="00CE5867" w:rsidRDefault="00D34C91" w:rsidP="00D34C91">
      <w:pPr>
        <w:spacing w:before="100" w:beforeAutospacing="1" w:after="100" w:afterAutospacing="1"/>
        <w:rPr>
          <w:rFonts w:ascii="Arial" w:hAnsi="Arial" w:cs="Arial"/>
          <w:b/>
        </w:rPr>
      </w:pPr>
      <w:r w:rsidRPr="00CE5867">
        <w:rPr>
          <w:rFonts w:ascii="Arial" w:hAnsi="Arial" w:cs="Arial"/>
          <w:b/>
        </w:rPr>
        <w:t>d.</w:t>
      </w:r>
      <w:r w:rsidRPr="00CE5867">
        <w:rPr>
          <w:rFonts w:ascii="Arial" w:hAnsi="Arial" w:cs="Arial"/>
          <w:b/>
        </w:rPr>
        <w:tab/>
      </w:r>
      <w:r w:rsidR="008B38ED">
        <w:rPr>
          <w:rFonts w:ascii="Arial" w:hAnsi="Arial" w:cs="Arial"/>
          <w:b/>
        </w:rPr>
        <w:t xml:space="preserve">Staff </w:t>
      </w:r>
      <w:r w:rsidRPr="00CE5867">
        <w:rPr>
          <w:rFonts w:ascii="Arial" w:hAnsi="Arial" w:cs="Arial"/>
          <w:b/>
        </w:rPr>
        <w:t xml:space="preserve">Training </w:t>
      </w:r>
    </w:p>
    <w:p w14:paraId="639CACEF" w14:textId="4C9CD703" w:rsidR="00D34C91" w:rsidRPr="00CE5867" w:rsidRDefault="00D34C91" w:rsidP="00D34C91">
      <w:pPr>
        <w:spacing w:before="100" w:beforeAutospacing="1" w:after="100" w:afterAutospacing="1"/>
        <w:ind w:left="709"/>
        <w:rPr>
          <w:rFonts w:ascii="Arial" w:hAnsi="Arial" w:cs="Arial"/>
        </w:rPr>
      </w:pPr>
      <w:r w:rsidRPr="00CE5867">
        <w:rPr>
          <w:rFonts w:ascii="Arial" w:hAnsi="Arial" w:cs="Arial"/>
        </w:rPr>
        <w:t xml:space="preserve">In addition to staff being involved in risk assessments and significant events, at </w:t>
      </w:r>
      <w:bookmarkStart w:id="0" w:name="_Hlk137392542"/>
      <w:r>
        <w:rPr>
          <w:rFonts w:ascii="Arial" w:hAnsi="Arial" w:cs="Arial"/>
        </w:rPr>
        <w:t>Heaton Norris Medical Practice</w:t>
      </w:r>
      <w:bookmarkEnd w:id="0"/>
      <w:r w:rsidRPr="00CE5867">
        <w:rPr>
          <w:rFonts w:ascii="Arial" w:hAnsi="Arial" w:cs="Arial"/>
        </w:rPr>
        <w:t xml:space="preserve">, all staff and contractors receive IPC induction training </w:t>
      </w:r>
      <w:r w:rsidR="008B38ED">
        <w:rPr>
          <w:rFonts w:ascii="Arial" w:hAnsi="Arial" w:cs="Arial"/>
        </w:rPr>
        <w:t xml:space="preserve">within three months </w:t>
      </w:r>
      <w:r w:rsidRPr="00CE5867">
        <w:rPr>
          <w:rFonts w:ascii="Arial" w:hAnsi="Arial" w:cs="Arial"/>
        </w:rPr>
        <w:t xml:space="preserve">on commencing their post. Thereafter, all staff receive refresher training </w:t>
      </w:r>
      <w:r w:rsidR="008B38ED">
        <w:rPr>
          <w:rFonts w:ascii="Arial" w:hAnsi="Arial" w:cs="Arial"/>
        </w:rPr>
        <w:t>every three year</w:t>
      </w:r>
      <w:r w:rsidR="00E6636E">
        <w:rPr>
          <w:rFonts w:ascii="Arial" w:hAnsi="Arial" w:cs="Arial"/>
        </w:rPr>
        <w:t>s</w:t>
      </w:r>
      <w:r w:rsidR="008B38ED">
        <w:rPr>
          <w:rFonts w:ascii="Arial" w:hAnsi="Arial" w:cs="Arial"/>
        </w:rPr>
        <w:t xml:space="preserve"> and </w:t>
      </w:r>
      <w:r w:rsidR="00E6636E">
        <w:rPr>
          <w:rFonts w:ascii="Arial" w:hAnsi="Arial" w:cs="Arial"/>
        </w:rPr>
        <w:t xml:space="preserve">the </w:t>
      </w:r>
      <w:r w:rsidR="008B38ED">
        <w:rPr>
          <w:rFonts w:ascii="Arial" w:hAnsi="Arial" w:cs="Arial"/>
        </w:rPr>
        <w:t xml:space="preserve">module </w:t>
      </w:r>
      <w:r w:rsidR="00E6636E">
        <w:rPr>
          <w:rFonts w:ascii="Arial" w:hAnsi="Arial" w:cs="Arial"/>
        </w:rPr>
        <w:t xml:space="preserve">is </w:t>
      </w:r>
      <w:r w:rsidR="008B38ED">
        <w:rPr>
          <w:rFonts w:ascii="Arial" w:hAnsi="Arial" w:cs="Arial"/>
        </w:rPr>
        <w:t>added to their e-learning account.</w:t>
      </w:r>
    </w:p>
    <w:p w14:paraId="0CA33880" w14:textId="25AD835E" w:rsidR="00D34C91" w:rsidRPr="00CE5867" w:rsidRDefault="008B38ED" w:rsidP="00D34C91">
      <w:pPr>
        <w:spacing w:before="100" w:beforeAutospacing="1" w:after="100" w:afterAutospacing="1"/>
        <w:ind w:left="709"/>
        <w:rPr>
          <w:rFonts w:ascii="Arial" w:hAnsi="Arial" w:cs="Arial"/>
        </w:rPr>
      </w:pPr>
      <w:r>
        <w:rPr>
          <w:rFonts w:ascii="Arial" w:hAnsi="Arial" w:cs="Arial"/>
        </w:rPr>
        <w:t>In addition, Face to Face IPC training is to be completed during 2023 - 2024.</w:t>
      </w:r>
    </w:p>
    <w:p w14:paraId="6CBB3AA6" w14:textId="77777777" w:rsidR="00D34C91" w:rsidRPr="00CE5867" w:rsidRDefault="00D34C91" w:rsidP="00D34C91">
      <w:pPr>
        <w:spacing w:before="100" w:beforeAutospacing="1" w:after="100" w:afterAutospacing="1"/>
        <w:rPr>
          <w:rFonts w:ascii="Arial" w:hAnsi="Arial" w:cs="Arial"/>
          <w:b/>
        </w:rPr>
      </w:pPr>
      <w:r w:rsidRPr="00CE5867">
        <w:rPr>
          <w:rFonts w:ascii="Arial" w:hAnsi="Arial" w:cs="Arial"/>
          <w:b/>
        </w:rPr>
        <w:t>e.</w:t>
      </w:r>
      <w:r w:rsidRPr="00CE5867">
        <w:rPr>
          <w:rFonts w:ascii="Arial" w:hAnsi="Arial" w:cs="Arial"/>
          <w:b/>
        </w:rPr>
        <w:tab/>
        <w:t>Policies and procedures</w:t>
      </w:r>
    </w:p>
    <w:p w14:paraId="65C5DC54" w14:textId="0165FB8D" w:rsidR="00D34C91" w:rsidRDefault="00D34C91" w:rsidP="00D34C91">
      <w:pPr>
        <w:spacing w:before="100" w:beforeAutospacing="1" w:after="100" w:afterAutospacing="1"/>
        <w:ind w:left="709"/>
        <w:rPr>
          <w:rFonts w:ascii="Arial" w:hAnsi="Arial" w:cs="Arial"/>
        </w:rPr>
      </w:pPr>
      <w:r w:rsidRPr="00CE5867">
        <w:rPr>
          <w:rFonts w:ascii="Arial" w:hAnsi="Arial" w:cs="Arial"/>
        </w:rPr>
        <w:t xml:space="preserve">The infection prevention and control-related policies and procedures that have been written, updated, or reviewed in the last year include, but are not limited, to: </w:t>
      </w:r>
    </w:p>
    <w:p w14:paraId="62A1DFAC" w14:textId="77777777" w:rsidR="008B38ED" w:rsidRPr="008B38ED" w:rsidRDefault="008B38ED" w:rsidP="008B38ED">
      <w:pPr>
        <w:pStyle w:val="ListParagraph"/>
        <w:numPr>
          <w:ilvl w:val="0"/>
          <w:numId w:val="5"/>
        </w:numPr>
        <w:jc w:val="both"/>
        <w:rPr>
          <w:rFonts w:ascii="Arial" w:hAnsi="Arial" w:cs="Arial"/>
        </w:rPr>
      </w:pPr>
      <w:r w:rsidRPr="008B38ED">
        <w:rPr>
          <w:rFonts w:ascii="Arial" w:hAnsi="Arial" w:cs="Arial"/>
        </w:rPr>
        <w:t>Infection Prevention Control Policy</w:t>
      </w:r>
    </w:p>
    <w:p w14:paraId="770EB24E" w14:textId="77777777" w:rsidR="008B38ED" w:rsidRPr="008B38ED" w:rsidRDefault="008B38ED" w:rsidP="008B38ED">
      <w:pPr>
        <w:pStyle w:val="ListParagraph"/>
        <w:numPr>
          <w:ilvl w:val="1"/>
          <w:numId w:val="5"/>
        </w:numPr>
        <w:jc w:val="both"/>
        <w:rPr>
          <w:rFonts w:ascii="Arial" w:hAnsi="Arial" w:cs="Arial"/>
        </w:rPr>
      </w:pPr>
      <w:r w:rsidRPr="008B38ED">
        <w:rPr>
          <w:rFonts w:ascii="Arial" w:hAnsi="Arial" w:cs="Arial"/>
        </w:rPr>
        <w:t>Infection Control Biological Substances Protocol</w:t>
      </w:r>
    </w:p>
    <w:p w14:paraId="09DB5EF6" w14:textId="77777777" w:rsidR="008B38ED" w:rsidRPr="008B38ED" w:rsidRDefault="008B38ED" w:rsidP="008B38ED">
      <w:pPr>
        <w:pStyle w:val="ListParagraph"/>
        <w:numPr>
          <w:ilvl w:val="1"/>
          <w:numId w:val="5"/>
        </w:numPr>
        <w:jc w:val="both"/>
        <w:rPr>
          <w:rFonts w:ascii="Arial" w:hAnsi="Arial" w:cs="Arial"/>
        </w:rPr>
      </w:pPr>
      <w:r w:rsidRPr="008B38ED">
        <w:rPr>
          <w:rFonts w:ascii="Arial" w:hAnsi="Arial" w:cs="Arial"/>
        </w:rPr>
        <w:t>Clinical Waste Management Protocol</w:t>
      </w:r>
    </w:p>
    <w:p w14:paraId="3FD6CA53" w14:textId="77777777" w:rsidR="008B38ED" w:rsidRPr="008B38ED" w:rsidRDefault="008B38ED" w:rsidP="008B38ED">
      <w:pPr>
        <w:pStyle w:val="ListParagraph"/>
        <w:numPr>
          <w:ilvl w:val="1"/>
          <w:numId w:val="5"/>
        </w:numPr>
        <w:jc w:val="both"/>
        <w:rPr>
          <w:rFonts w:ascii="Arial" w:hAnsi="Arial" w:cs="Arial"/>
        </w:rPr>
      </w:pPr>
      <w:r w:rsidRPr="008B38ED">
        <w:rPr>
          <w:rFonts w:ascii="Arial" w:hAnsi="Arial" w:cs="Arial"/>
        </w:rPr>
        <w:t>Disposable (</w:t>
      </w:r>
      <w:proofErr w:type="gramStart"/>
      <w:r w:rsidRPr="008B38ED">
        <w:rPr>
          <w:rFonts w:ascii="Arial" w:hAnsi="Arial" w:cs="Arial"/>
        </w:rPr>
        <w:t>single-use</w:t>
      </w:r>
      <w:proofErr w:type="gramEnd"/>
      <w:r w:rsidRPr="008B38ED">
        <w:rPr>
          <w:rFonts w:ascii="Arial" w:hAnsi="Arial" w:cs="Arial"/>
        </w:rPr>
        <w:t>) Instruments Protocol</w:t>
      </w:r>
    </w:p>
    <w:p w14:paraId="2E1CAC84" w14:textId="77777777" w:rsidR="008B38ED" w:rsidRPr="008B38ED" w:rsidRDefault="008B38ED" w:rsidP="008B38ED">
      <w:pPr>
        <w:pStyle w:val="ListParagraph"/>
        <w:numPr>
          <w:ilvl w:val="1"/>
          <w:numId w:val="5"/>
        </w:numPr>
        <w:jc w:val="both"/>
        <w:rPr>
          <w:rFonts w:ascii="Arial" w:hAnsi="Arial" w:cs="Arial"/>
        </w:rPr>
      </w:pPr>
      <w:r w:rsidRPr="008B38ED">
        <w:rPr>
          <w:rFonts w:ascii="Arial" w:hAnsi="Arial" w:cs="Arial"/>
        </w:rPr>
        <w:lastRenderedPageBreak/>
        <w:t xml:space="preserve">Needle-Stick Injury Protocol </w:t>
      </w:r>
    </w:p>
    <w:p w14:paraId="1D13200B" w14:textId="77777777" w:rsidR="008B38ED" w:rsidRPr="008B38ED" w:rsidRDefault="008B38ED" w:rsidP="008B38ED">
      <w:pPr>
        <w:pStyle w:val="ListParagraph"/>
        <w:numPr>
          <w:ilvl w:val="1"/>
          <w:numId w:val="5"/>
        </w:numPr>
        <w:jc w:val="both"/>
        <w:rPr>
          <w:rFonts w:ascii="Arial" w:hAnsi="Arial" w:cs="Arial"/>
        </w:rPr>
      </w:pPr>
      <w:r w:rsidRPr="008B38ED">
        <w:rPr>
          <w:rFonts w:ascii="Arial" w:hAnsi="Arial" w:cs="Arial"/>
        </w:rPr>
        <w:t>Safe use and disposal of sharps</w:t>
      </w:r>
    </w:p>
    <w:p w14:paraId="01C1028B" w14:textId="77777777" w:rsidR="008B38ED" w:rsidRPr="008B38ED" w:rsidRDefault="008B38ED" w:rsidP="008B38ED">
      <w:pPr>
        <w:pStyle w:val="ListParagraph"/>
        <w:numPr>
          <w:ilvl w:val="1"/>
          <w:numId w:val="5"/>
        </w:numPr>
        <w:jc w:val="both"/>
        <w:rPr>
          <w:rFonts w:ascii="Arial" w:hAnsi="Arial" w:cs="Arial"/>
        </w:rPr>
      </w:pPr>
      <w:r w:rsidRPr="008B38ED">
        <w:rPr>
          <w:rFonts w:ascii="Arial" w:hAnsi="Arial" w:cs="Arial"/>
        </w:rPr>
        <w:t>Sample Handling Protocol</w:t>
      </w:r>
    </w:p>
    <w:p w14:paraId="648B38FB" w14:textId="77777777" w:rsidR="008B38ED" w:rsidRPr="008B38ED" w:rsidRDefault="008B38ED" w:rsidP="008B38ED">
      <w:pPr>
        <w:pStyle w:val="ListParagraph"/>
        <w:numPr>
          <w:ilvl w:val="1"/>
          <w:numId w:val="5"/>
        </w:numPr>
        <w:jc w:val="both"/>
        <w:rPr>
          <w:rFonts w:ascii="Arial" w:hAnsi="Arial" w:cs="Arial"/>
        </w:rPr>
      </w:pPr>
      <w:r w:rsidRPr="008B38ED">
        <w:rPr>
          <w:rFonts w:ascii="Arial" w:hAnsi="Arial" w:cs="Arial"/>
        </w:rPr>
        <w:t>Sterilisation and Decontamination Protocol</w:t>
      </w:r>
    </w:p>
    <w:p w14:paraId="4C15CEA6" w14:textId="77777777" w:rsidR="008B38ED" w:rsidRPr="008B38ED" w:rsidRDefault="008B38ED" w:rsidP="008B38ED">
      <w:pPr>
        <w:pStyle w:val="ListParagraph"/>
        <w:numPr>
          <w:ilvl w:val="1"/>
          <w:numId w:val="5"/>
        </w:numPr>
        <w:jc w:val="both"/>
        <w:rPr>
          <w:rFonts w:ascii="Arial" w:hAnsi="Arial" w:cs="Arial"/>
        </w:rPr>
      </w:pPr>
      <w:r w:rsidRPr="008B38ED">
        <w:rPr>
          <w:rFonts w:ascii="Arial" w:hAnsi="Arial" w:cs="Arial"/>
        </w:rPr>
        <w:t>Isolation of Patients Protocol</w:t>
      </w:r>
    </w:p>
    <w:p w14:paraId="7BA5A27F" w14:textId="77777777" w:rsidR="008B38ED" w:rsidRPr="008B38ED" w:rsidRDefault="008B38ED" w:rsidP="008B38ED">
      <w:pPr>
        <w:pStyle w:val="ListParagraph"/>
        <w:numPr>
          <w:ilvl w:val="1"/>
          <w:numId w:val="5"/>
        </w:numPr>
        <w:jc w:val="both"/>
        <w:rPr>
          <w:rFonts w:ascii="Arial" w:hAnsi="Arial" w:cs="Arial"/>
        </w:rPr>
      </w:pPr>
      <w:r w:rsidRPr="008B38ED">
        <w:rPr>
          <w:rFonts w:ascii="Arial" w:hAnsi="Arial" w:cs="Arial"/>
        </w:rPr>
        <w:t>Notifiable Diseases</w:t>
      </w:r>
    </w:p>
    <w:p w14:paraId="1C57ED6E" w14:textId="77777777" w:rsidR="008B38ED" w:rsidRPr="008B38ED" w:rsidRDefault="008B38ED" w:rsidP="008B38ED">
      <w:pPr>
        <w:pStyle w:val="ListParagraph"/>
        <w:numPr>
          <w:ilvl w:val="1"/>
          <w:numId w:val="5"/>
        </w:numPr>
        <w:jc w:val="both"/>
        <w:rPr>
          <w:rFonts w:ascii="Arial" w:hAnsi="Arial" w:cs="Arial"/>
        </w:rPr>
      </w:pPr>
      <w:r w:rsidRPr="008B38ED">
        <w:rPr>
          <w:rFonts w:ascii="Arial" w:hAnsi="Arial" w:cs="Arial"/>
        </w:rPr>
        <w:t>Staff Exclusion from Work</w:t>
      </w:r>
    </w:p>
    <w:p w14:paraId="743C6236" w14:textId="77777777" w:rsidR="008B38ED" w:rsidRPr="008B38ED" w:rsidRDefault="008B38ED" w:rsidP="008B38ED">
      <w:pPr>
        <w:pStyle w:val="ListParagraph"/>
        <w:numPr>
          <w:ilvl w:val="0"/>
          <w:numId w:val="5"/>
        </w:numPr>
        <w:jc w:val="both"/>
        <w:rPr>
          <w:rFonts w:ascii="Arial" w:hAnsi="Arial" w:cs="Arial"/>
        </w:rPr>
      </w:pPr>
      <w:r w:rsidRPr="008B38ED">
        <w:rPr>
          <w:rFonts w:ascii="Arial" w:hAnsi="Arial" w:cs="Arial"/>
        </w:rPr>
        <w:t>Aseptic Technique Policy</w:t>
      </w:r>
    </w:p>
    <w:p w14:paraId="4B9095DF" w14:textId="77777777" w:rsidR="008B38ED" w:rsidRPr="008B38ED" w:rsidRDefault="008B38ED" w:rsidP="008B38ED">
      <w:pPr>
        <w:pStyle w:val="ListParagraph"/>
        <w:numPr>
          <w:ilvl w:val="0"/>
          <w:numId w:val="5"/>
        </w:numPr>
        <w:jc w:val="both"/>
        <w:rPr>
          <w:rFonts w:ascii="Arial" w:hAnsi="Arial" w:cs="Arial"/>
        </w:rPr>
      </w:pPr>
      <w:r w:rsidRPr="008B38ED">
        <w:rPr>
          <w:rFonts w:ascii="Arial" w:hAnsi="Arial" w:cs="Arial"/>
        </w:rPr>
        <w:t>Hepatitis B Vaccination of Employees</w:t>
      </w:r>
    </w:p>
    <w:p w14:paraId="04D2675A" w14:textId="77777777" w:rsidR="008B38ED" w:rsidRPr="008B38ED" w:rsidRDefault="008B38ED" w:rsidP="008B38ED">
      <w:pPr>
        <w:pStyle w:val="ListParagraph"/>
        <w:numPr>
          <w:ilvl w:val="0"/>
          <w:numId w:val="5"/>
        </w:numPr>
        <w:jc w:val="both"/>
        <w:rPr>
          <w:rFonts w:ascii="Arial" w:hAnsi="Arial" w:cs="Arial"/>
        </w:rPr>
      </w:pPr>
      <w:r w:rsidRPr="008B38ED">
        <w:rPr>
          <w:rFonts w:ascii="Arial" w:hAnsi="Arial" w:cs="Arial"/>
        </w:rPr>
        <w:t>Management of Clostridium Difficile Infections in the Community</w:t>
      </w:r>
    </w:p>
    <w:p w14:paraId="16D3AB49" w14:textId="77777777" w:rsidR="008B38ED" w:rsidRPr="008B38ED" w:rsidRDefault="008B38ED" w:rsidP="008B38ED">
      <w:pPr>
        <w:pStyle w:val="ListParagraph"/>
        <w:numPr>
          <w:ilvl w:val="0"/>
          <w:numId w:val="5"/>
        </w:numPr>
        <w:jc w:val="both"/>
        <w:rPr>
          <w:rFonts w:ascii="Arial" w:hAnsi="Arial" w:cs="Arial"/>
        </w:rPr>
      </w:pPr>
      <w:r w:rsidRPr="008B38ED">
        <w:rPr>
          <w:rFonts w:ascii="Arial" w:hAnsi="Arial" w:cs="Arial"/>
        </w:rPr>
        <w:t>Stockport Community Antibiotic Guidelines</w:t>
      </w:r>
    </w:p>
    <w:p w14:paraId="515EBCDA" w14:textId="77777777" w:rsidR="008B38ED" w:rsidRPr="008B38ED" w:rsidRDefault="008B38ED" w:rsidP="008B38ED">
      <w:pPr>
        <w:pStyle w:val="ListParagraph"/>
        <w:numPr>
          <w:ilvl w:val="0"/>
          <w:numId w:val="5"/>
        </w:numPr>
        <w:jc w:val="both"/>
        <w:rPr>
          <w:rFonts w:ascii="Arial" w:hAnsi="Arial" w:cs="Arial"/>
        </w:rPr>
      </w:pPr>
      <w:r w:rsidRPr="008B38ED">
        <w:rPr>
          <w:rFonts w:ascii="Arial" w:hAnsi="Arial" w:cs="Arial"/>
        </w:rPr>
        <w:t>Vaccine Storage Guidelines</w:t>
      </w:r>
    </w:p>
    <w:p w14:paraId="3A7FCCEA" w14:textId="77777777" w:rsidR="008B38ED" w:rsidRPr="008B38ED" w:rsidRDefault="008B38ED" w:rsidP="008B38ED">
      <w:pPr>
        <w:pStyle w:val="ListParagraph"/>
        <w:numPr>
          <w:ilvl w:val="0"/>
          <w:numId w:val="5"/>
        </w:numPr>
        <w:jc w:val="both"/>
        <w:rPr>
          <w:rFonts w:ascii="Arial" w:hAnsi="Arial" w:cs="Arial"/>
        </w:rPr>
      </w:pPr>
      <w:r w:rsidRPr="008B38ED">
        <w:rPr>
          <w:rFonts w:ascii="Arial" w:hAnsi="Arial" w:cs="Arial"/>
        </w:rPr>
        <w:t>COSHH</w:t>
      </w:r>
    </w:p>
    <w:p w14:paraId="59E05F2D" w14:textId="77777777" w:rsidR="00D34C91" w:rsidRPr="00CE5867" w:rsidRDefault="00D34C91" w:rsidP="00D34C91">
      <w:pPr>
        <w:spacing w:before="100" w:beforeAutospacing="1" w:after="100" w:afterAutospacing="1"/>
        <w:ind w:left="709"/>
        <w:rPr>
          <w:rFonts w:ascii="Arial" w:hAnsi="Arial" w:cs="Arial"/>
        </w:rPr>
      </w:pPr>
      <w:r w:rsidRPr="00CE5867">
        <w:rPr>
          <w:rFonts w:ascii="Arial" w:hAnsi="Arial" w:cs="Arial"/>
        </w:rPr>
        <w:t xml:space="preserve">Policies relating to infection prevention and control are available to all staff and are reviewed and updated annually. Additionally, all policies are amended on an ongoing basis as per current advice, guidance, and legislation changes.  </w:t>
      </w:r>
    </w:p>
    <w:p w14:paraId="0FB0362A" w14:textId="77777777" w:rsidR="00D34C91" w:rsidRPr="00CE5867" w:rsidRDefault="00D34C91" w:rsidP="00D34C91">
      <w:pPr>
        <w:spacing w:before="100" w:beforeAutospacing="1" w:after="100" w:afterAutospacing="1"/>
        <w:rPr>
          <w:rFonts w:ascii="Arial" w:hAnsi="Arial" w:cs="Arial"/>
          <w:b/>
        </w:rPr>
      </w:pPr>
      <w:r w:rsidRPr="00CE5867">
        <w:rPr>
          <w:rFonts w:ascii="Arial" w:hAnsi="Arial" w:cs="Arial"/>
          <w:b/>
        </w:rPr>
        <w:t>f.</w:t>
      </w:r>
      <w:r w:rsidRPr="00CE5867">
        <w:rPr>
          <w:rFonts w:ascii="Arial" w:hAnsi="Arial" w:cs="Arial"/>
          <w:b/>
        </w:rPr>
        <w:tab/>
        <w:t>Responsibility</w:t>
      </w:r>
    </w:p>
    <w:p w14:paraId="761AA38D" w14:textId="05CA5D32" w:rsidR="00D34C91" w:rsidRPr="00CE5867" w:rsidRDefault="00D34C91" w:rsidP="00D34C91">
      <w:pPr>
        <w:spacing w:before="100" w:beforeAutospacing="1" w:after="100" w:afterAutospacing="1"/>
        <w:ind w:left="709"/>
        <w:rPr>
          <w:rFonts w:ascii="Arial" w:hAnsi="Arial" w:cs="Arial"/>
        </w:rPr>
      </w:pPr>
      <w:r w:rsidRPr="00CE5867">
        <w:rPr>
          <w:rFonts w:ascii="Arial" w:hAnsi="Arial" w:cs="Arial"/>
        </w:rPr>
        <w:t xml:space="preserve">It is the responsibility of all staff members at </w:t>
      </w:r>
      <w:r>
        <w:rPr>
          <w:rFonts w:ascii="Arial" w:hAnsi="Arial" w:cs="Arial"/>
        </w:rPr>
        <w:t>Heaton Norris Medical Practice</w:t>
      </w:r>
      <w:r w:rsidRPr="00CE5867">
        <w:rPr>
          <w:rFonts w:ascii="Arial" w:hAnsi="Arial" w:cs="Arial"/>
        </w:rPr>
        <w:t xml:space="preserve"> to be familiar with this statement, and their roles and responsibilities </w:t>
      </w:r>
      <w:r w:rsidR="00E6636E">
        <w:rPr>
          <w:rFonts w:ascii="Arial" w:hAnsi="Arial" w:cs="Arial"/>
        </w:rPr>
        <w:t>within</w:t>
      </w:r>
      <w:r w:rsidRPr="00CE5867">
        <w:rPr>
          <w:rFonts w:ascii="Arial" w:hAnsi="Arial" w:cs="Arial"/>
        </w:rPr>
        <w:t xml:space="preserve"> it.  </w:t>
      </w:r>
    </w:p>
    <w:p w14:paraId="77013E32" w14:textId="77777777" w:rsidR="00D34C91" w:rsidRPr="00CE5867" w:rsidRDefault="00D34C91" w:rsidP="00D34C91">
      <w:pPr>
        <w:spacing w:before="100" w:beforeAutospacing="1" w:after="100" w:afterAutospacing="1"/>
        <w:rPr>
          <w:rFonts w:ascii="Arial" w:hAnsi="Arial" w:cs="Arial"/>
        </w:rPr>
      </w:pPr>
      <w:r w:rsidRPr="00CE5867">
        <w:rPr>
          <w:rFonts w:ascii="Arial" w:hAnsi="Arial" w:cs="Arial"/>
          <w:b/>
        </w:rPr>
        <w:t>g.</w:t>
      </w:r>
      <w:r w:rsidRPr="00CE5867">
        <w:rPr>
          <w:rFonts w:ascii="Arial" w:hAnsi="Arial" w:cs="Arial"/>
          <w:b/>
        </w:rPr>
        <w:tab/>
        <w:t xml:space="preserve">Review </w:t>
      </w:r>
    </w:p>
    <w:p w14:paraId="05BC0C9D" w14:textId="49AF98DB" w:rsidR="00D34C91" w:rsidRPr="008B38ED" w:rsidRDefault="008B38ED" w:rsidP="008B38ED">
      <w:pPr>
        <w:ind w:left="709"/>
        <w:jc w:val="both"/>
        <w:rPr>
          <w:rFonts w:ascii="Arial" w:hAnsi="Arial" w:cs="Arial"/>
          <w:bCs/>
        </w:rPr>
      </w:pPr>
      <w:r w:rsidRPr="008B38ED">
        <w:rPr>
          <w:rFonts w:ascii="Arial" w:hAnsi="Arial" w:cs="Arial"/>
          <w:bCs/>
        </w:rPr>
        <w:t>The IPC Lead Dr Anna Lancashire, GP Partner and Hannah Collins, Practice Nurse</w:t>
      </w:r>
      <w:r>
        <w:rPr>
          <w:rFonts w:ascii="Arial" w:hAnsi="Arial" w:cs="Arial"/>
          <w:bCs/>
        </w:rPr>
        <w:t xml:space="preserve"> </w:t>
      </w:r>
      <w:r w:rsidR="00D34C91" w:rsidRPr="008B38ED">
        <w:rPr>
          <w:rFonts w:ascii="Arial" w:hAnsi="Arial" w:cs="Arial"/>
          <w:bCs/>
        </w:rPr>
        <w:t xml:space="preserve">are responsible for reviewing and producing the annual statement. </w:t>
      </w:r>
    </w:p>
    <w:p w14:paraId="1A3C8DAC" w14:textId="2CF06DB5" w:rsidR="00D34C91" w:rsidRPr="008B38ED" w:rsidRDefault="00D34C91" w:rsidP="00D34C91">
      <w:pPr>
        <w:spacing w:before="100" w:beforeAutospacing="1" w:after="100" w:afterAutospacing="1"/>
        <w:ind w:left="709"/>
        <w:rPr>
          <w:rFonts w:ascii="Arial" w:hAnsi="Arial" w:cs="Arial"/>
          <w:bCs/>
        </w:rPr>
      </w:pPr>
      <w:r w:rsidRPr="008B38ED">
        <w:rPr>
          <w:rFonts w:ascii="Arial" w:hAnsi="Arial" w:cs="Arial"/>
          <w:bCs/>
        </w:rPr>
        <w:t xml:space="preserve">This annual statement will be updated on or before </w:t>
      </w:r>
      <w:r w:rsidR="008B38ED">
        <w:rPr>
          <w:rFonts w:ascii="Arial" w:hAnsi="Arial" w:cs="Arial"/>
          <w:bCs/>
        </w:rPr>
        <w:t>July 2024</w:t>
      </w:r>
      <w:r w:rsidRPr="008B38ED">
        <w:rPr>
          <w:rFonts w:ascii="Arial" w:hAnsi="Arial" w:cs="Arial"/>
          <w:bCs/>
        </w:rPr>
        <w:t>.</w:t>
      </w:r>
    </w:p>
    <w:p w14:paraId="30CDA1A2" w14:textId="41FA2269" w:rsidR="00D34C91" w:rsidRPr="00CE5867" w:rsidRDefault="00D34C91" w:rsidP="00D34C91">
      <w:pPr>
        <w:spacing w:before="100" w:beforeAutospacing="1" w:after="100" w:afterAutospacing="1"/>
        <w:rPr>
          <w:rFonts w:ascii="Arial" w:hAnsi="Arial" w:cs="Arial"/>
          <w:b/>
        </w:rPr>
      </w:pPr>
      <w:r w:rsidRPr="00CE5867">
        <w:rPr>
          <w:rFonts w:ascii="Arial" w:hAnsi="Arial" w:cs="Arial"/>
          <w:b/>
        </w:rPr>
        <w:t>Signed by</w:t>
      </w:r>
      <w:r w:rsidR="008B38ED">
        <w:rPr>
          <w:rFonts w:ascii="Arial" w:hAnsi="Arial" w:cs="Arial"/>
          <w:b/>
        </w:rPr>
        <w:t>:</w:t>
      </w:r>
    </w:p>
    <w:p w14:paraId="5BBE8C3B" w14:textId="6EF85D64" w:rsidR="00D34C91" w:rsidRPr="00CE5867" w:rsidRDefault="00E6636E" w:rsidP="00D34C91">
      <w:pPr>
        <w:spacing w:before="100" w:beforeAutospacing="1" w:after="100" w:afterAutospacing="1"/>
        <w:rPr>
          <w:rFonts w:ascii="Arial" w:hAnsi="Arial" w:cs="Arial"/>
        </w:rPr>
      </w:pPr>
      <w:r>
        <w:rPr>
          <w:noProof/>
        </w:rPr>
        <w:drawing>
          <wp:inline distT="0" distB="0" distL="0" distR="0" wp14:anchorId="11BD3C26" wp14:editId="437F36B5">
            <wp:extent cx="1320084" cy="3109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4737" cy="316741"/>
                    </a:xfrm>
                    <a:prstGeom prst="rect">
                      <a:avLst/>
                    </a:prstGeom>
                    <a:noFill/>
                    <a:ln>
                      <a:noFill/>
                    </a:ln>
                  </pic:spPr>
                </pic:pic>
              </a:graphicData>
            </a:graphic>
          </wp:inline>
        </w:drawing>
      </w:r>
    </w:p>
    <w:p w14:paraId="5BED70FF" w14:textId="77777777" w:rsidR="00E6636E" w:rsidRPr="00E6636E" w:rsidRDefault="00E6636E" w:rsidP="00E6636E">
      <w:pPr>
        <w:spacing w:before="100" w:beforeAutospacing="1" w:after="100" w:afterAutospacing="1"/>
        <w:rPr>
          <w:rFonts w:ascii="Arial" w:hAnsi="Arial" w:cs="Arial"/>
          <w:b/>
          <w:bCs/>
        </w:rPr>
      </w:pPr>
      <w:r w:rsidRPr="00E6636E">
        <w:rPr>
          <w:rFonts w:ascii="Arial" w:hAnsi="Arial" w:cs="Arial"/>
          <w:b/>
          <w:bCs/>
        </w:rPr>
        <w:t>Rhona Franks</w:t>
      </w:r>
    </w:p>
    <w:p w14:paraId="508698D0" w14:textId="649FA798" w:rsidR="00D34C91" w:rsidRPr="00E6636E" w:rsidRDefault="00D34C91" w:rsidP="00E6636E">
      <w:pPr>
        <w:spacing w:before="100" w:beforeAutospacing="1" w:after="100" w:afterAutospacing="1"/>
        <w:rPr>
          <w:rFonts w:ascii="Arial" w:hAnsi="Arial" w:cs="Arial"/>
          <w:b/>
          <w:bCs/>
        </w:rPr>
      </w:pPr>
      <w:r w:rsidRPr="00E6636E">
        <w:rPr>
          <w:rFonts w:ascii="Arial" w:hAnsi="Arial" w:cs="Arial"/>
          <w:b/>
          <w:bCs/>
        </w:rPr>
        <w:t xml:space="preserve">For and on behalf of Heaton Norris Medical Practice </w:t>
      </w:r>
    </w:p>
    <w:p w14:paraId="56A13E3A" w14:textId="77777777" w:rsidR="00D34C91" w:rsidRPr="00CE5867" w:rsidRDefault="00D34C91" w:rsidP="00D34C91">
      <w:pPr>
        <w:rPr>
          <w:rFonts w:ascii="Arial" w:hAnsi="Arial" w:cs="Arial"/>
        </w:rPr>
      </w:pPr>
    </w:p>
    <w:p w14:paraId="02DD08AC" w14:textId="77777777" w:rsidR="00D34C91" w:rsidRPr="00CE5867" w:rsidRDefault="00D34C91" w:rsidP="00D34C91">
      <w:pPr>
        <w:rPr>
          <w:rFonts w:ascii="Arial" w:hAnsi="Arial" w:cs="Arial"/>
        </w:rPr>
      </w:pPr>
    </w:p>
    <w:p w14:paraId="197389BA" w14:textId="77777777" w:rsidR="00D34C91" w:rsidRDefault="00D34C91"/>
    <w:sectPr w:rsidR="00D34C91" w:rsidSect="00D34C91">
      <w:pgSz w:w="11906" w:h="16838" w:code="9"/>
      <w:pgMar w:top="567" w:right="851" w:bottom="510" w:left="85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345"/>
    <w:multiLevelType w:val="hybridMultilevel"/>
    <w:tmpl w:val="2DC0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D91F3C"/>
    <w:multiLevelType w:val="hybridMultilevel"/>
    <w:tmpl w:val="03A29F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8BA519C"/>
    <w:multiLevelType w:val="hybridMultilevel"/>
    <w:tmpl w:val="3F3C4C62"/>
    <w:lvl w:ilvl="0" w:tplc="13286A8C">
      <w:start w:val="1"/>
      <w:numFmt w:val="decimal"/>
      <w:lvlText w:val="%1."/>
      <w:lvlJc w:val="left"/>
      <w:pPr>
        <w:ind w:left="1069" w:hanging="360"/>
      </w:pPr>
      <w:rPr>
        <w:b w:val="0"/>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4B51184A"/>
    <w:multiLevelType w:val="hybridMultilevel"/>
    <w:tmpl w:val="09882BB4"/>
    <w:lvl w:ilvl="0" w:tplc="13286A8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10E13E5"/>
    <w:multiLevelType w:val="hybridMultilevel"/>
    <w:tmpl w:val="C85036E0"/>
    <w:lvl w:ilvl="0" w:tplc="9FEA725C">
      <w:start w:val="1"/>
      <w:numFmt w:val="bullet"/>
      <w:lvlText w:val=""/>
      <w:lvlJc w:val="left"/>
      <w:pPr>
        <w:ind w:left="1429" w:hanging="360"/>
      </w:pPr>
      <w:rPr>
        <w:rFonts w:ascii="Symbol" w:hAnsi="Symbol" w:hint="default"/>
        <w:color w:val="auto"/>
        <w:sz w:val="22"/>
        <w:szCs w:val="22"/>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5" w15:restartNumberingAfterBreak="0">
    <w:nsid w:val="6C3C0725"/>
    <w:multiLevelType w:val="hybridMultilevel"/>
    <w:tmpl w:val="83B076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2586573">
    <w:abstractNumId w:val="0"/>
  </w:num>
  <w:num w:numId="2" w16cid:durableId="1173496405">
    <w:abstractNumId w:val="4"/>
  </w:num>
  <w:num w:numId="3" w16cid:durableId="1600408985">
    <w:abstractNumId w:val="5"/>
  </w:num>
  <w:num w:numId="4" w16cid:durableId="992219558">
    <w:abstractNumId w:val="3"/>
  </w:num>
  <w:num w:numId="5" w16cid:durableId="810094374">
    <w:abstractNumId w:val="2"/>
  </w:num>
  <w:num w:numId="6" w16cid:durableId="1372417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91"/>
    <w:rsid w:val="00264BAE"/>
    <w:rsid w:val="008B38ED"/>
    <w:rsid w:val="00B5285E"/>
    <w:rsid w:val="00D34C91"/>
    <w:rsid w:val="00E0656F"/>
    <w:rsid w:val="00E66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59F7"/>
  <w15:chartTrackingRefBased/>
  <w15:docId w15:val="{243DA92C-D6E0-4389-9606-EA1556AB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C9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C91"/>
    <w:pPr>
      <w:ind w:left="720"/>
      <w:contextualSpacing/>
    </w:pPr>
  </w:style>
  <w:style w:type="character" w:styleId="Hyperlink">
    <w:name w:val="Hyperlink"/>
    <w:basedOn w:val="DefaultParagraphFont"/>
    <w:uiPriority w:val="99"/>
    <w:unhideWhenUsed/>
    <w:rsid w:val="00D34C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0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v.uk/government/publications/the-health-and-social-care-act-2008-code-of-practice-on-the-prevention-and-control-of-infections-and-related-guid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4994</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WALLIS, Margaret (HEATON NORRIS HEALTH CTR. 1)</dc:creator>
  <cp:keywords/>
  <dc:description/>
  <cp:lastModifiedBy>FRANKS, Rhona (HEATON NORRIS MEDICAL PRACTICE)</cp:lastModifiedBy>
  <cp:revision>2</cp:revision>
  <dcterms:created xsi:type="dcterms:W3CDTF">2023-06-21T10:13:00Z</dcterms:created>
  <dcterms:modified xsi:type="dcterms:W3CDTF">2023-06-21T10:13:00Z</dcterms:modified>
</cp:coreProperties>
</file>